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FA" w:rsidRDefault="00907FFA" w:rsidP="00907FFA">
      <w:pPr>
        <w:pageBreakBefore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ANEXO 01</w:t>
      </w:r>
    </w:p>
    <w:p w:rsidR="00907FFA" w:rsidRDefault="00907FFA" w:rsidP="00907FFA">
      <w:pPr>
        <w:widowControl w:val="0"/>
        <w:tabs>
          <w:tab w:val="left" w:pos="709"/>
        </w:tabs>
        <w:autoSpaceDE w:val="0"/>
        <w:spacing w:before="360" w:after="240" w:line="240" w:lineRule="auto"/>
        <w:jc w:val="center"/>
        <w:rPr>
          <w:rFonts w:cs="Arial"/>
          <w:sz w:val="20"/>
          <w:szCs w:val="20"/>
        </w:rPr>
      </w:pPr>
      <w:bookmarkStart w:id="0" w:name="_Ref342672091"/>
      <w:bookmarkStart w:id="1" w:name="_Ref332182656"/>
      <w:r>
        <w:rPr>
          <w:rFonts w:cs="Arial"/>
          <w:b/>
          <w:sz w:val="20"/>
          <w:szCs w:val="20"/>
        </w:rPr>
        <w:t>ORGANIZAÇÃO DA</w:t>
      </w:r>
      <w:bookmarkEnd w:id="1"/>
      <w:r>
        <w:rPr>
          <w:rFonts w:cs="Arial"/>
          <w:b/>
          <w:sz w:val="20"/>
          <w:szCs w:val="20"/>
        </w:rPr>
        <w:t>S PROPOSTAS DE PREÇOS</w:t>
      </w:r>
      <w:bookmarkEnd w:id="0"/>
    </w:p>
    <w:p w:rsidR="00907FFA" w:rsidRDefault="00907FFA" w:rsidP="00907FFA">
      <w:pPr>
        <w:widowControl w:val="0"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701"/>
        </w:tabs>
        <w:autoSpaceDE w:val="0"/>
        <w:spacing w:before="360" w:after="24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 INVÓLUCRO II deverá conter todos os elementos a seguir relacionados:</w:t>
      </w:r>
    </w:p>
    <w:p w:rsidR="00907FFA" w:rsidRDefault="00907FFA" w:rsidP="00907FFA">
      <w:pPr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701"/>
          <w:tab w:val="left" w:pos="2552"/>
        </w:tabs>
        <w:spacing w:before="360" w:after="24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Carta de apresentação da PROPOSTA DE PREÇOS, assinada, obrigatoriamente, pelo representante legal da licitante, com preços globais em Real, para os serviços e prazo de validade da proposta não inferior </w:t>
      </w:r>
      <w:r w:rsidRPr="001E5A2D">
        <w:rPr>
          <w:rFonts w:cs="Arial"/>
          <w:sz w:val="20"/>
          <w:szCs w:val="20"/>
        </w:rPr>
        <w:t xml:space="preserve">a </w:t>
      </w:r>
      <w:r w:rsidRPr="001E5A2D">
        <w:rPr>
          <w:rFonts w:cs="Arial"/>
          <w:sz w:val="20"/>
          <w:szCs w:val="24"/>
        </w:rPr>
        <w:t>120 (cento e vinte)</w:t>
      </w:r>
      <w:r w:rsidRPr="001E5A2D">
        <w:rPr>
          <w:rFonts w:cs="Arial"/>
          <w:sz w:val="16"/>
          <w:szCs w:val="20"/>
        </w:rPr>
        <w:t xml:space="preserve"> </w:t>
      </w:r>
      <w:r w:rsidRPr="001E5A2D">
        <w:rPr>
          <w:rFonts w:cs="Arial"/>
          <w:sz w:val="20"/>
          <w:szCs w:val="20"/>
        </w:rPr>
        <w:t>dias</w:t>
      </w:r>
      <w:r>
        <w:rPr>
          <w:rFonts w:cs="Arial"/>
          <w:sz w:val="20"/>
          <w:szCs w:val="20"/>
        </w:rPr>
        <w:t xml:space="preserve"> corridos, contados a partir da data que é tratada no edital conforme </w:t>
      </w:r>
      <w:r>
        <w:rPr>
          <w:rFonts w:cs="Arial"/>
          <w:b/>
          <w:sz w:val="20"/>
          <w:szCs w:val="20"/>
        </w:rPr>
        <w:t>MODELO 01.</w:t>
      </w:r>
    </w:p>
    <w:p w:rsidR="00907FFA" w:rsidRPr="00272A48" w:rsidRDefault="00907FFA" w:rsidP="00907FFA">
      <w:pPr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701"/>
          <w:tab w:val="left" w:pos="2552"/>
        </w:tabs>
        <w:spacing w:before="360" w:after="240" w:line="240" w:lineRule="auto"/>
        <w:jc w:val="both"/>
        <w:rPr>
          <w:rFonts w:cs="Arial"/>
          <w:sz w:val="20"/>
          <w:szCs w:val="24"/>
        </w:rPr>
      </w:pPr>
      <w:r w:rsidRPr="00272A48">
        <w:rPr>
          <w:rFonts w:cs="Arial"/>
          <w:sz w:val="20"/>
          <w:szCs w:val="20"/>
        </w:rPr>
        <w:t xml:space="preserve">As etapas necessárias para a conclusão do objeto deverão ser apresentadas em </w:t>
      </w:r>
      <w:r w:rsidRPr="00272A48">
        <w:rPr>
          <w:rFonts w:cs="Arial"/>
          <w:sz w:val="20"/>
          <w:szCs w:val="24"/>
        </w:rPr>
        <w:t>01(uma</w:t>
      </w:r>
      <w:r>
        <w:rPr>
          <w:rFonts w:cs="Arial"/>
          <w:sz w:val="20"/>
          <w:szCs w:val="24"/>
        </w:rPr>
        <w:t>) planilha</w:t>
      </w:r>
      <w:r w:rsidRPr="00272A48">
        <w:rPr>
          <w:rFonts w:cs="Arial"/>
          <w:sz w:val="20"/>
          <w:szCs w:val="24"/>
        </w:rPr>
        <w:t>.</w:t>
      </w:r>
    </w:p>
    <w:p w:rsidR="00907FFA" w:rsidRPr="00272A48" w:rsidRDefault="00907FFA" w:rsidP="00907FFA">
      <w:pPr>
        <w:widowControl w:val="0"/>
        <w:numPr>
          <w:ilvl w:val="2"/>
          <w:numId w:val="1"/>
        </w:numPr>
        <w:tabs>
          <w:tab w:val="left" w:pos="993"/>
          <w:tab w:val="left" w:pos="2410"/>
        </w:tabs>
        <w:autoSpaceDE w:val="0"/>
        <w:spacing w:before="360" w:after="240" w:line="240" w:lineRule="auto"/>
        <w:jc w:val="both"/>
        <w:rPr>
          <w:rFonts w:cs="Arial"/>
          <w:sz w:val="20"/>
          <w:szCs w:val="24"/>
        </w:rPr>
      </w:pPr>
      <w:r w:rsidRPr="00272A48">
        <w:rPr>
          <w:rFonts w:cs="Arial"/>
          <w:sz w:val="20"/>
          <w:szCs w:val="24"/>
        </w:rPr>
        <w:t>Planilha 01 – deverá contemplar as etapas relativas aos SERVIÇOS DE REFORMA DA ESENFAR.</w:t>
      </w:r>
    </w:p>
    <w:p w:rsidR="00907FFA" w:rsidRPr="00A14BEF" w:rsidRDefault="00907FFA" w:rsidP="00907FFA">
      <w:pPr>
        <w:widowControl w:val="0"/>
        <w:tabs>
          <w:tab w:val="left" w:pos="993"/>
          <w:tab w:val="left" w:pos="2410"/>
        </w:tabs>
        <w:autoSpaceDE w:val="0"/>
        <w:spacing w:before="360" w:after="240" w:line="240" w:lineRule="auto"/>
        <w:ind w:left="993"/>
        <w:jc w:val="both"/>
        <w:rPr>
          <w:rFonts w:cs="Arial"/>
          <w:sz w:val="20"/>
          <w:szCs w:val="24"/>
          <w:highlight w:val="yellow"/>
        </w:rPr>
      </w:pPr>
    </w:p>
    <w:p w:rsidR="00907FFA" w:rsidRPr="00A14BEF" w:rsidRDefault="00907FFA" w:rsidP="00907FFA">
      <w:pPr>
        <w:pStyle w:val="Legenda"/>
        <w:keepNext/>
        <w:jc w:val="both"/>
        <w:rPr>
          <w:rFonts w:ascii="Arial" w:eastAsia="Calibri" w:hAnsi="Arial" w:cs="Arial"/>
          <w:b w:val="0"/>
          <w:bCs w:val="0"/>
          <w:szCs w:val="24"/>
          <w:highlight w:val="yellow"/>
        </w:rPr>
      </w:pPr>
      <w:r w:rsidRPr="00272A48">
        <w:rPr>
          <w:rFonts w:ascii="Arial" w:eastAsia="Calibri" w:hAnsi="Arial" w:cs="Arial"/>
          <w:b w:val="0"/>
          <w:bCs w:val="0"/>
          <w:szCs w:val="24"/>
        </w:rPr>
        <w:t xml:space="preserve">QUADRO </w:t>
      </w:r>
      <w:r w:rsidRPr="00272A48">
        <w:rPr>
          <w:rFonts w:ascii="Arial" w:eastAsia="Calibri" w:hAnsi="Arial" w:cs="Arial"/>
          <w:b w:val="0"/>
          <w:bCs w:val="0"/>
          <w:szCs w:val="24"/>
        </w:rPr>
        <w:fldChar w:fldCharType="begin"/>
      </w:r>
      <w:r w:rsidRPr="00272A48">
        <w:rPr>
          <w:rFonts w:ascii="Arial" w:eastAsia="Calibri" w:hAnsi="Arial" w:cs="Arial"/>
          <w:b w:val="0"/>
          <w:bCs w:val="0"/>
          <w:szCs w:val="24"/>
        </w:rPr>
        <w:instrText xml:space="preserve"> SEQ "Quadro" \*Arabic </w:instrText>
      </w:r>
      <w:r w:rsidRPr="00272A48">
        <w:rPr>
          <w:rFonts w:ascii="Arial" w:eastAsia="Calibri" w:hAnsi="Arial" w:cs="Arial"/>
          <w:b w:val="0"/>
          <w:bCs w:val="0"/>
          <w:szCs w:val="24"/>
        </w:rPr>
        <w:fldChar w:fldCharType="separate"/>
      </w:r>
      <w:r>
        <w:rPr>
          <w:rFonts w:ascii="Arial" w:eastAsia="Calibri" w:hAnsi="Arial" w:cs="Arial"/>
          <w:b w:val="0"/>
          <w:bCs w:val="0"/>
          <w:noProof/>
          <w:szCs w:val="24"/>
        </w:rPr>
        <w:t>1</w:t>
      </w:r>
      <w:r w:rsidRPr="00272A48">
        <w:rPr>
          <w:rFonts w:ascii="Arial" w:eastAsia="Calibri" w:hAnsi="Arial" w:cs="Arial"/>
          <w:b w:val="0"/>
          <w:bCs w:val="0"/>
          <w:szCs w:val="24"/>
        </w:rPr>
        <w:fldChar w:fldCharType="end"/>
      </w:r>
      <w:r w:rsidRPr="00272A48">
        <w:rPr>
          <w:rFonts w:ascii="Arial" w:eastAsia="Calibri" w:hAnsi="Arial" w:cs="Arial"/>
          <w:b w:val="0"/>
          <w:bCs w:val="0"/>
          <w:szCs w:val="24"/>
        </w:rPr>
        <w:t xml:space="preserve"> - Etapas da planilha 01 (</w:t>
      </w:r>
      <w:r>
        <w:rPr>
          <w:rFonts w:ascii="Arial" w:hAnsi="Arial" w:cs="Arial"/>
        </w:rPr>
        <w:t>Serviços de reforma n</w:t>
      </w:r>
      <w:r w:rsidRPr="005222C2">
        <w:rPr>
          <w:rFonts w:ascii="Arial" w:hAnsi="Arial" w:cs="Arial"/>
        </w:rPr>
        <w:t>a ESENFAR)</w:t>
      </w:r>
    </w:p>
    <w:p w:rsidR="00907FFA" w:rsidRPr="00A14BEF" w:rsidRDefault="00907FFA" w:rsidP="00907FFA">
      <w:pPr>
        <w:rPr>
          <w:rFonts w:cs="Arial"/>
          <w:sz w:val="20"/>
          <w:szCs w:val="24"/>
          <w:highlight w:val="yellow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"/>
        <w:gridCol w:w="4029"/>
      </w:tblGrid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ITENS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ETAPAS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01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SERVIÇOS PRELIMINARES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02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SERVIÇOS DE RETIRADA E DEMOLIÇÃO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03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ESQUADRIA</w:t>
            </w:r>
          </w:p>
        </w:tc>
      </w:tr>
      <w:tr w:rsidR="00907FFA" w:rsidRPr="00A14BEF" w:rsidTr="000265F5">
        <w:trPr>
          <w:trHeight w:val="24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04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PINTURA E REVESTIMENTO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05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INSTALAÇÃO ELÉTRICA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06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PISO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07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ADMINISTRAÇÃO LOCAL DA OBRA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08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keepNext/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FORRO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09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keepNext/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DIVISORIA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10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keepNext/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ALVENARIA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11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keepNext/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DIVERSOS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12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keepNext/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HIDROSSANITARIO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13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keepNext/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SERVIÇOS COMPLEMENTARES</w:t>
            </w:r>
          </w:p>
        </w:tc>
      </w:tr>
      <w:tr w:rsidR="00907FFA" w:rsidRPr="00A14BEF" w:rsidTr="000265F5">
        <w:trPr>
          <w:trHeight w:val="255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FFA" w:rsidRPr="00272A48" w:rsidRDefault="00907FFA" w:rsidP="000265F5">
            <w:pPr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14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7FFA" w:rsidRPr="00272A48" w:rsidRDefault="00907FFA" w:rsidP="000265F5">
            <w:pPr>
              <w:keepNext/>
              <w:rPr>
                <w:rFonts w:cs="Arial"/>
                <w:sz w:val="20"/>
                <w:szCs w:val="24"/>
              </w:rPr>
            </w:pPr>
            <w:r w:rsidRPr="00272A48">
              <w:rPr>
                <w:rFonts w:cs="Arial"/>
                <w:sz w:val="20"/>
                <w:szCs w:val="24"/>
              </w:rPr>
              <w:t>COBERTA</w:t>
            </w:r>
          </w:p>
        </w:tc>
      </w:tr>
    </w:tbl>
    <w:p w:rsidR="00907FFA" w:rsidRDefault="00907FFA" w:rsidP="00907FFA">
      <w:pPr>
        <w:pStyle w:val="Legenda"/>
        <w:keepNext/>
        <w:rPr>
          <w:rFonts w:ascii="Arial" w:hAnsi="Arial" w:cs="Arial"/>
        </w:rPr>
      </w:pPr>
    </w:p>
    <w:p w:rsidR="00907FFA" w:rsidRDefault="00907FFA" w:rsidP="00907FFA">
      <w:pPr>
        <w:widowControl w:val="0"/>
        <w:numPr>
          <w:ilvl w:val="2"/>
          <w:numId w:val="2"/>
        </w:numPr>
        <w:tabs>
          <w:tab w:val="left" w:pos="993"/>
          <w:tab w:val="left" w:pos="2410"/>
        </w:tabs>
        <w:autoSpaceDE w:val="0"/>
        <w:spacing w:before="360" w:after="24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reforma proponente deverá definir os subitens necessários </w:t>
      </w:r>
      <w:r>
        <w:rPr>
          <w:rFonts w:cs="Arial"/>
          <w:sz w:val="20"/>
          <w:szCs w:val="20"/>
        </w:rPr>
        <w:lastRenderedPageBreak/>
        <w:t xml:space="preserve">para a conclusão do objeto. A tabela deverá conter uma descrição sumária dos subitens, a unidade de referência e o quantitativo, conforme Planilha Orçamentária no </w:t>
      </w:r>
      <w:r>
        <w:rPr>
          <w:rFonts w:cs="Arial"/>
          <w:b/>
          <w:sz w:val="20"/>
          <w:szCs w:val="20"/>
        </w:rPr>
        <w:t>MODELO 02</w:t>
      </w:r>
      <w:r>
        <w:rPr>
          <w:rFonts w:cs="Arial"/>
          <w:sz w:val="20"/>
          <w:szCs w:val="20"/>
        </w:rPr>
        <w:t>.</w:t>
      </w:r>
    </w:p>
    <w:p w:rsidR="00907FFA" w:rsidRDefault="00907FFA" w:rsidP="00907FFA">
      <w:pPr>
        <w:widowControl w:val="0"/>
        <w:numPr>
          <w:ilvl w:val="2"/>
          <w:numId w:val="2"/>
        </w:numPr>
        <w:tabs>
          <w:tab w:val="left" w:pos="993"/>
          <w:tab w:val="left" w:pos="2410"/>
        </w:tabs>
        <w:autoSpaceDE w:val="0"/>
        <w:spacing w:before="360" w:after="24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 proponente também deverá apresentar um Quadro Resumo, conforme </w:t>
      </w:r>
      <w:r>
        <w:rPr>
          <w:rFonts w:cs="Arial"/>
          <w:b/>
          <w:sz w:val="20"/>
          <w:szCs w:val="20"/>
        </w:rPr>
        <w:t>MODELO 03</w:t>
      </w:r>
      <w:r>
        <w:rPr>
          <w:rFonts w:cs="Arial"/>
          <w:sz w:val="20"/>
          <w:szCs w:val="20"/>
        </w:rPr>
        <w:t>, que traz o valor global de todos os subitens e o valor da proposta.</w:t>
      </w:r>
    </w:p>
    <w:p w:rsidR="00907FFA" w:rsidRDefault="00907FFA" w:rsidP="00907FFA">
      <w:pPr>
        <w:widowControl w:val="0"/>
        <w:numPr>
          <w:ilvl w:val="2"/>
          <w:numId w:val="2"/>
        </w:numPr>
        <w:tabs>
          <w:tab w:val="left" w:pos="993"/>
          <w:tab w:val="left" w:pos="2410"/>
        </w:tabs>
        <w:autoSpaceDE w:val="0"/>
        <w:spacing w:before="360" w:after="24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 proponente deverá apresentar, ainda, um cronograma físico-financeiro, que contenha o prazo máximo de cada etapa bem como o desembolso financeiro mensal. (</w:t>
      </w:r>
      <w:r>
        <w:rPr>
          <w:rFonts w:cs="Arial"/>
          <w:b/>
          <w:sz w:val="20"/>
          <w:szCs w:val="20"/>
        </w:rPr>
        <w:t>MODELO 04)</w:t>
      </w:r>
    </w:p>
    <w:p w:rsidR="0016284F" w:rsidRDefault="0016284F">
      <w:bookmarkStart w:id="2" w:name="_GoBack"/>
      <w:bookmarkEnd w:id="2"/>
    </w:p>
    <w:sectPr w:rsidR="001628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3" w:firstLine="0"/>
      </w:pPr>
      <w:rPr>
        <w:rFonts w:ascii="Arial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3" w:firstLine="0"/>
      </w:pPr>
      <w:rPr>
        <w:rFonts w:ascii="Arial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9B"/>
    <w:rsid w:val="0016284F"/>
    <w:rsid w:val="002C219B"/>
    <w:rsid w:val="0090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uppressAutoHyphens/>
    </w:pPr>
    <w:rPr>
      <w:rFonts w:ascii="Arial" w:eastAsia="Calibri" w:hAnsi="Arial" w:cs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qFormat/>
    <w:rsid w:val="00907FFA"/>
    <w:pPr>
      <w:widowControl w:val="0"/>
      <w:tabs>
        <w:tab w:val="left" w:pos="142"/>
      </w:tabs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FA"/>
    <w:pPr>
      <w:suppressAutoHyphens/>
    </w:pPr>
    <w:rPr>
      <w:rFonts w:ascii="Arial" w:eastAsia="Calibri" w:hAnsi="Arial" w:cs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qFormat/>
    <w:rsid w:val="00907FFA"/>
    <w:pPr>
      <w:widowControl w:val="0"/>
      <w:tabs>
        <w:tab w:val="left" w:pos="142"/>
      </w:tabs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2014-10-17T16:50:00Z</dcterms:created>
  <dcterms:modified xsi:type="dcterms:W3CDTF">2014-10-17T16:50:00Z</dcterms:modified>
</cp:coreProperties>
</file>